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9E10" w14:textId="572B2DDB" w:rsidR="00AF60B8" w:rsidRDefault="006E5DED" w:rsidP="00AF60B8">
      <w:pPr>
        <w:pStyle w:val="Title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08981A4" wp14:editId="5C9F9327">
            <wp:simplePos x="0" y="0"/>
            <wp:positionH relativeFrom="column">
              <wp:posOffset>-635</wp:posOffset>
            </wp:positionH>
            <wp:positionV relativeFrom="paragraph">
              <wp:posOffset>38100</wp:posOffset>
            </wp:positionV>
            <wp:extent cx="2272030" cy="1704340"/>
            <wp:effectExtent l="38100" t="38100" r="90170" b="86360"/>
            <wp:wrapSquare wrapText="bothSides"/>
            <wp:docPr id="19907006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00650" name="Picture 19907006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170434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0B8" w:rsidRPr="00AF60B8">
        <w:rPr>
          <w:sz w:val="40"/>
          <w:szCs w:val="40"/>
        </w:rPr>
        <w:t>Update on Defra bTB Figures for Camelids</w:t>
      </w:r>
      <w:r w:rsidR="00AB4120">
        <w:rPr>
          <w:sz w:val="40"/>
          <w:szCs w:val="40"/>
        </w:rPr>
        <w:t xml:space="preserve"> in the UK</w:t>
      </w:r>
    </w:p>
    <w:p w14:paraId="2DB0153A" w14:textId="77777777" w:rsidR="006E5DED" w:rsidRDefault="006E5DED" w:rsidP="00DA0096"/>
    <w:p w14:paraId="73528FB3" w14:textId="737369D5" w:rsidR="00DA0096" w:rsidRPr="00DA0096" w:rsidRDefault="000C350E" w:rsidP="00DA0096">
      <w:r>
        <w:t>26</w:t>
      </w:r>
      <w:r w:rsidRPr="000C350E">
        <w:rPr>
          <w:vertAlign w:val="superscript"/>
        </w:rPr>
        <w:t>th</w:t>
      </w:r>
      <w:r>
        <w:t xml:space="preserve"> </w:t>
      </w:r>
      <w:r w:rsidR="00DA0096">
        <w:t>November 2025</w:t>
      </w:r>
    </w:p>
    <w:p w14:paraId="61FB4716" w14:textId="77777777" w:rsidR="00AB4120" w:rsidRDefault="00AB4120" w:rsidP="00AF60B8">
      <w:pPr>
        <w:pStyle w:val="Heading2"/>
        <w:rPr>
          <w:sz w:val="28"/>
          <w:szCs w:val="28"/>
        </w:rPr>
      </w:pPr>
    </w:p>
    <w:p w14:paraId="462C2B9C" w14:textId="77777777" w:rsidR="006E5DED" w:rsidRDefault="006E5DED" w:rsidP="00AF60B8">
      <w:pPr>
        <w:pStyle w:val="Heading2"/>
        <w:rPr>
          <w:sz w:val="28"/>
          <w:szCs w:val="28"/>
        </w:rPr>
      </w:pPr>
    </w:p>
    <w:p w14:paraId="2A5C8E63" w14:textId="2791D398" w:rsidR="00AF60B8" w:rsidRPr="00AF60B8" w:rsidRDefault="00AF60B8" w:rsidP="00AF60B8">
      <w:pPr>
        <w:pStyle w:val="Heading2"/>
        <w:rPr>
          <w:sz w:val="28"/>
          <w:szCs w:val="28"/>
        </w:rPr>
      </w:pPr>
      <w:r w:rsidRPr="00AF60B8">
        <w:rPr>
          <w:sz w:val="28"/>
          <w:szCs w:val="28"/>
        </w:rPr>
        <w:t xml:space="preserve">Absence of New </w:t>
      </w:r>
      <w:r w:rsidR="00F0524F">
        <w:rPr>
          <w:sz w:val="28"/>
          <w:szCs w:val="28"/>
        </w:rPr>
        <w:t>b</w:t>
      </w:r>
      <w:r w:rsidRPr="00AF60B8">
        <w:rPr>
          <w:sz w:val="28"/>
          <w:szCs w:val="28"/>
        </w:rPr>
        <w:t>TB Cases in 2024</w:t>
      </w:r>
    </w:p>
    <w:p w14:paraId="3BCF468E" w14:textId="0ABBB72E" w:rsidR="00AF60B8" w:rsidRDefault="00D47968" w:rsidP="00AF60B8">
      <w:r>
        <w:t>T</w:t>
      </w:r>
      <w:r w:rsidR="00AF60B8" w:rsidRPr="00D90F03">
        <w:t xml:space="preserve">here were no new laboratory-confirmed </w:t>
      </w:r>
      <w:r w:rsidR="00F0524F">
        <w:t>Bovine Tuberculosis (b</w:t>
      </w:r>
      <w:r w:rsidR="00AF60B8" w:rsidRPr="00D90F03">
        <w:t>TB</w:t>
      </w:r>
      <w:r w:rsidR="00F0524F">
        <w:t>)</w:t>
      </w:r>
      <w:r w:rsidR="00AF60B8" w:rsidRPr="00D90F03">
        <w:t xml:space="preserve"> incidents reported in camelids </w:t>
      </w:r>
      <w:r w:rsidR="005E4782">
        <w:t xml:space="preserve">(alpaca and llama) </w:t>
      </w:r>
      <w:r w:rsidR="00AF60B8" w:rsidRPr="00D90F03">
        <w:t xml:space="preserve">throughout the entirety of 2024. This positive outcome is further supported by a nil return for infected camelids discovered during post-mortem examinations. Notably, this continues a downward trend in camelid </w:t>
      </w:r>
      <w:r w:rsidR="00E814CF">
        <w:t>b</w:t>
      </w:r>
      <w:r w:rsidR="00AF60B8" w:rsidRPr="00D90F03">
        <w:t>TB cases observed since 2019.</w:t>
      </w:r>
    </w:p>
    <w:p w14:paraId="64EF106D" w14:textId="77777777" w:rsidR="00E368E1" w:rsidRDefault="00E368E1" w:rsidP="00AF60B8">
      <w:pPr>
        <w:pStyle w:val="Heading2"/>
        <w:rPr>
          <w:sz w:val="28"/>
          <w:szCs w:val="28"/>
        </w:rPr>
      </w:pPr>
    </w:p>
    <w:p w14:paraId="19D28038" w14:textId="34D8317B" w:rsidR="00AF60B8" w:rsidRPr="00AF60B8" w:rsidRDefault="00AF60B8" w:rsidP="00AF60B8">
      <w:pPr>
        <w:pStyle w:val="Heading2"/>
        <w:rPr>
          <w:sz w:val="28"/>
          <w:szCs w:val="28"/>
        </w:rPr>
      </w:pPr>
      <w:r w:rsidRPr="00AF60B8">
        <w:rPr>
          <w:sz w:val="28"/>
          <w:szCs w:val="28"/>
        </w:rPr>
        <w:t>Progress Reflected in Data</w:t>
      </w:r>
    </w:p>
    <w:p w14:paraId="3B8D9486" w14:textId="1472D201" w:rsidR="00AF60B8" w:rsidRDefault="00AF60B8" w:rsidP="00AF60B8">
      <w:r w:rsidRPr="00D90F03">
        <w:t>This continued reduction in bTB among</w:t>
      </w:r>
      <w:r w:rsidR="00FF69FE">
        <w:t>st</w:t>
      </w:r>
      <w:r w:rsidRPr="00D90F03">
        <w:t xml:space="preserve"> alpacas is a testament to the diligent biosecurity measures adopted by herd owners</w:t>
      </w:r>
      <w:r w:rsidR="00962952">
        <w:t xml:space="preserve"> such as badger proof fencing, disinfection</w:t>
      </w:r>
      <w:r w:rsidR="006F0899">
        <w:t xml:space="preserve">, </w:t>
      </w:r>
      <w:r w:rsidR="00287EA9">
        <w:t>surveillance</w:t>
      </w:r>
      <w:r w:rsidR="00692F38">
        <w:t xml:space="preserve"> </w:t>
      </w:r>
      <w:r w:rsidR="006F0899">
        <w:t xml:space="preserve"> Enferplex testing </w:t>
      </w:r>
      <w:r w:rsidR="00692F38">
        <w:t xml:space="preserve">including </w:t>
      </w:r>
      <w:r w:rsidR="0095565F">
        <w:t xml:space="preserve">whole herd, </w:t>
      </w:r>
      <w:r w:rsidR="00F0524F">
        <w:t>pre</w:t>
      </w:r>
      <w:r w:rsidR="006F0899">
        <w:t xml:space="preserve"> and post </w:t>
      </w:r>
      <w:r w:rsidR="00F0524F">
        <w:t xml:space="preserve">movement </w:t>
      </w:r>
      <w:r w:rsidR="0095565F">
        <w:t xml:space="preserve">and </w:t>
      </w:r>
      <w:r w:rsidR="005D5481">
        <w:t xml:space="preserve">post movement </w:t>
      </w:r>
      <w:r w:rsidR="00F0524F">
        <w:t>isolation</w:t>
      </w:r>
      <w:r w:rsidRPr="00D90F03">
        <w:t>. Their consistent efforts have played a crucial role in maintaining healthy herds and reducing the prevalence of the disease.</w:t>
      </w:r>
    </w:p>
    <w:p w14:paraId="7AB64084" w14:textId="77777777" w:rsidR="00E368E1" w:rsidRDefault="00E368E1" w:rsidP="00D90F03">
      <w:pPr>
        <w:pStyle w:val="Heading2"/>
        <w:rPr>
          <w:sz w:val="28"/>
          <w:szCs w:val="28"/>
        </w:rPr>
      </w:pPr>
    </w:p>
    <w:p w14:paraId="658A4EA5" w14:textId="42561025" w:rsidR="00D90F03" w:rsidRPr="00AF60B8" w:rsidRDefault="00D90F03" w:rsidP="00D90F03">
      <w:pPr>
        <w:pStyle w:val="Heading2"/>
        <w:rPr>
          <w:sz w:val="28"/>
          <w:szCs w:val="28"/>
        </w:rPr>
      </w:pPr>
      <w:r w:rsidRPr="00AF60B8">
        <w:rPr>
          <w:sz w:val="28"/>
          <w:szCs w:val="28"/>
        </w:rPr>
        <w:t xml:space="preserve">Statistical Overview of Camelid </w:t>
      </w:r>
      <w:r w:rsidR="00F0524F">
        <w:rPr>
          <w:sz w:val="28"/>
          <w:szCs w:val="28"/>
        </w:rPr>
        <w:t>b</w:t>
      </w:r>
      <w:r w:rsidRPr="00AF60B8">
        <w:rPr>
          <w:sz w:val="28"/>
          <w:szCs w:val="28"/>
        </w:rPr>
        <w:t>TB Cases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401"/>
        <w:gridCol w:w="749"/>
        <w:gridCol w:w="762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D90F03" w:rsidRPr="001E6681" w14:paraId="04732A22" w14:textId="77777777" w:rsidTr="00FF6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1" w:type="dxa"/>
          </w:tcPr>
          <w:p w14:paraId="703DF21A" w14:textId="77777777" w:rsidR="00D90F03" w:rsidRPr="001E6681" w:rsidRDefault="00D90F03" w:rsidP="00D90F03">
            <w:pPr>
              <w:rPr>
                <w:sz w:val="18"/>
                <w:szCs w:val="18"/>
              </w:rPr>
            </w:pPr>
          </w:p>
        </w:tc>
        <w:tc>
          <w:tcPr>
            <w:tcW w:w="749" w:type="dxa"/>
          </w:tcPr>
          <w:p w14:paraId="137DB161" w14:textId="51241671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2015</w:t>
            </w:r>
          </w:p>
        </w:tc>
        <w:tc>
          <w:tcPr>
            <w:tcW w:w="762" w:type="dxa"/>
          </w:tcPr>
          <w:p w14:paraId="580A994C" w14:textId="707DE0D0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2016</w:t>
            </w:r>
          </w:p>
        </w:tc>
        <w:tc>
          <w:tcPr>
            <w:tcW w:w="763" w:type="dxa"/>
          </w:tcPr>
          <w:p w14:paraId="29A7E841" w14:textId="28267DC1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2017</w:t>
            </w:r>
          </w:p>
        </w:tc>
        <w:tc>
          <w:tcPr>
            <w:tcW w:w="763" w:type="dxa"/>
          </w:tcPr>
          <w:p w14:paraId="2985D1D1" w14:textId="67B3280F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2018</w:t>
            </w:r>
          </w:p>
        </w:tc>
        <w:tc>
          <w:tcPr>
            <w:tcW w:w="763" w:type="dxa"/>
          </w:tcPr>
          <w:p w14:paraId="0DCF0E5A" w14:textId="5F14A435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2019</w:t>
            </w:r>
          </w:p>
        </w:tc>
        <w:tc>
          <w:tcPr>
            <w:tcW w:w="763" w:type="dxa"/>
          </w:tcPr>
          <w:p w14:paraId="5B665ADA" w14:textId="35EC8083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2020</w:t>
            </w:r>
          </w:p>
        </w:tc>
        <w:tc>
          <w:tcPr>
            <w:tcW w:w="763" w:type="dxa"/>
          </w:tcPr>
          <w:p w14:paraId="00B833F7" w14:textId="4D0AF3B6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2021</w:t>
            </w:r>
          </w:p>
        </w:tc>
        <w:tc>
          <w:tcPr>
            <w:tcW w:w="763" w:type="dxa"/>
          </w:tcPr>
          <w:p w14:paraId="35AE4B3F" w14:textId="383469F4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2022</w:t>
            </w:r>
          </w:p>
        </w:tc>
        <w:tc>
          <w:tcPr>
            <w:tcW w:w="763" w:type="dxa"/>
          </w:tcPr>
          <w:p w14:paraId="7A89726C" w14:textId="4DD19181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2023</w:t>
            </w:r>
          </w:p>
        </w:tc>
        <w:tc>
          <w:tcPr>
            <w:tcW w:w="763" w:type="dxa"/>
          </w:tcPr>
          <w:p w14:paraId="05F789EE" w14:textId="7BC7CFDC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2024</w:t>
            </w:r>
          </w:p>
        </w:tc>
      </w:tr>
      <w:tr w:rsidR="00D90F03" w:rsidRPr="001E6681" w14:paraId="50C60022" w14:textId="77777777" w:rsidTr="00FF69FE">
        <w:tc>
          <w:tcPr>
            <w:tcW w:w="1401" w:type="dxa"/>
          </w:tcPr>
          <w:p w14:paraId="5EFE0777" w14:textId="530952B8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 xml:space="preserve">Lab confirmed </w:t>
            </w:r>
            <w:r w:rsidR="00F0524F">
              <w:rPr>
                <w:sz w:val="18"/>
                <w:szCs w:val="18"/>
              </w:rPr>
              <w:t>b</w:t>
            </w:r>
            <w:r w:rsidRPr="001E6681">
              <w:rPr>
                <w:sz w:val="18"/>
                <w:szCs w:val="18"/>
              </w:rPr>
              <w:t>TB breakdowns</w:t>
            </w:r>
          </w:p>
        </w:tc>
        <w:tc>
          <w:tcPr>
            <w:tcW w:w="749" w:type="dxa"/>
          </w:tcPr>
          <w:p w14:paraId="5271453C" w14:textId="366237CC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13</w:t>
            </w:r>
          </w:p>
        </w:tc>
        <w:tc>
          <w:tcPr>
            <w:tcW w:w="762" w:type="dxa"/>
          </w:tcPr>
          <w:p w14:paraId="5E79E2F1" w14:textId="710366F2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8</w:t>
            </w:r>
          </w:p>
        </w:tc>
        <w:tc>
          <w:tcPr>
            <w:tcW w:w="763" w:type="dxa"/>
          </w:tcPr>
          <w:p w14:paraId="050410B8" w14:textId="2A9149F3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</w:tcPr>
          <w:p w14:paraId="08021C2B" w14:textId="22CEC8D2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9</w:t>
            </w:r>
          </w:p>
        </w:tc>
        <w:tc>
          <w:tcPr>
            <w:tcW w:w="763" w:type="dxa"/>
          </w:tcPr>
          <w:p w14:paraId="53FF4F5F" w14:textId="71FAD616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10</w:t>
            </w:r>
          </w:p>
        </w:tc>
        <w:tc>
          <w:tcPr>
            <w:tcW w:w="763" w:type="dxa"/>
          </w:tcPr>
          <w:p w14:paraId="0494E0BB" w14:textId="3EF3F3DE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4</w:t>
            </w:r>
          </w:p>
        </w:tc>
        <w:tc>
          <w:tcPr>
            <w:tcW w:w="763" w:type="dxa"/>
          </w:tcPr>
          <w:p w14:paraId="5E7E2B04" w14:textId="2FDF5874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</w:t>
            </w:r>
          </w:p>
        </w:tc>
        <w:tc>
          <w:tcPr>
            <w:tcW w:w="763" w:type="dxa"/>
          </w:tcPr>
          <w:p w14:paraId="2945246D" w14:textId="26511496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</w:t>
            </w:r>
          </w:p>
        </w:tc>
        <w:tc>
          <w:tcPr>
            <w:tcW w:w="763" w:type="dxa"/>
          </w:tcPr>
          <w:p w14:paraId="5C93399F" w14:textId="0F8F8C0C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3</w:t>
            </w:r>
          </w:p>
        </w:tc>
        <w:tc>
          <w:tcPr>
            <w:tcW w:w="763" w:type="dxa"/>
          </w:tcPr>
          <w:p w14:paraId="1716624E" w14:textId="10FC5BC3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0</w:t>
            </w:r>
          </w:p>
        </w:tc>
      </w:tr>
      <w:tr w:rsidR="00D90F03" w:rsidRPr="001E6681" w14:paraId="5C225B36" w14:textId="77777777" w:rsidTr="00FF6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1" w:type="dxa"/>
          </w:tcPr>
          <w:p w14:paraId="79284DCA" w14:textId="2D121E6E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Registered BAS herd</w:t>
            </w:r>
          </w:p>
        </w:tc>
        <w:tc>
          <w:tcPr>
            <w:tcW w:w="749" w:type="dxa"/>
          </w:tcPr>
          <w:p w14:paraId="1A3D2ACF" w14:textId="2B262672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1,203</w:t>
            </w:r>
          </w:p>
        </w:tc>
        <w:tc>
          <w:tcPr>
            <w:tcW w:w="762" w:type="dxa"/>
          </w:tcPr>
          <w:p w14:paraId="379FF462" w14:textId="719DBE00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1,243</w:t>
            </w:r>
          </w:p>
        </w:tc>
        <w:tc>
          <w:tcPr>
            <w:tcW w:w="763" w:type="dxa"/>
          </w:tcPr>
          <w:p w14:paraId="0E6F1B63" w14:textId="4B8EF6FE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1,320</w:t>
            </w:r>
          </w:p>
        </w:tc>
        <w:tc>
          <w:tcPr>
            <w:tcW w:w="763" w:type="dxa"/>
          </w:tcPr>
          <w:p w14:paraId="577A58E4" w14:textId="46A644D1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1,333</w:t>
            </w:r>
          </w:p>
        </w:tc>
        <w:tc>
          <w:tcPr>
            <w:tcW w:w="763" w:type="dxa"/>
          </w:tcPr>
          <w:p w14:paraId="0BB0F7F3" w14:textId="73AAD7E5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1,424</w:t>
            </w:r>
          </w:p>
        </w:tc>
        <w:tc>
          <w:tcPr>
            <w:tcW w:w="763" w:type="dxa"/>
          </w:tcPr>
          <w:p w14:paraId="1F24E5F1" w14:textId="7C296173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1,540</w:t>
            </w:r>
          </w:p>
        </w:tc>
        <w:tc>
          <w:tcPr>
            <w:tcW w:w="763" w:type="dxa"/>
          </w:tcPr>
          <w:p w14:paraId="65961F06" w14:textId="5A8C8352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1,580</w:t>
            </w:r>
          </w:p>
        </w:tc>
        <w:tc>
          <w:tcPr>
            <w:tcW w:w="763" w:type="dxa"/>
          </w:tcPr>
          <w:p w14:paraId="4B31062A" w14:textId="5B96B515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1,746</w:t>
            </w:r>
          </w:p>
        </w:tc>
        <w:tc>
          <w:tcPr>
            <w:tcW w:w="763" w:type="dxa"/>
          </w:tcPr>
          <w:p w14:paraId="32C6630F" w14:textId="3FADCDBB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1,706</w:t>
            </w:r>
          </w:p>
        </w:tc>
        <w:tc>
          <w:tcPr>
            <w:tcW w:w="763" w:type="dxa"/>
          </w:tcPr>
          <w:p w14:paraId="7FD2FC34" w14:textId="09BA5661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1,619</w:t>
            </w:r>
          </w:p>
        </w:tc>
      </w:tr>
      <w:tr w:rsidR="00D90F03" w:rsidRPr="001E6681" w14:paraId="3406CC9E" w14:textId="77777777" w:rsidTr="00FF69FE">
        <w:tc>
          <w:tcPr>
            <w:tcW w:w="1401" w:type="dxa"/>
          </w:tcPr>
          <w:p w14:paraId="3C5A9BE5" w14:textId="5C3BBE5A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Register</w:t>
            </w:r>
            <w:r w:rsidR="00AB4120">
              <w:rPr>
                <w:sz w:val="18"/>
                <w:szCs w:val="18"/>
              </w:rPr>
              <w:t>ed</w:t>
            </w:r>
            <w:r w:rsidRPr="001E6681">
              <w:rPr>
                <w:sz w:val="18"/>
                <w:szCs w:val="18"/>
              </w:rPr>
              <w:t xml:space="preserve"> population</w:t>
            </w:r>
          </w:p>
        </w:tc>
        <w:tc>
          <w:tcPr>
            <w:tcW w:w="749" w:type="dxa"/>
          </w:tcPr>
          <w:p w14:paraId="7B1B765B" w14:textId="719FB7A3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36,960</w:t>
            </w:r>
          </w:p>
        </w:tc>
        <w:tc>
          <w:tcPr>
            <w:tcW w:w="762" w:type="dxa"/>
          </w:tcPr>
          <w:p w14:paraId="67987CEA" w14:textId="1754D6F6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38,490</w:t>
            </w:r>
          </w:p>
        </w:tc>
        <w:tc>
          <w:tcPr>
            <w:tcW w:w="763" w:type="dxa"/>
          </w:tcPr>
          <w:p w14:paraId="5FFD0096" w14:textId="2CC760D4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39,048</w:t>
            </w:r>
          </w:p>
        </w:tc>
        <w:tc>
          <w:tcPr>
            <w:tcW w:w="763" w:type="dxa"/>
          </w:tcPr>
          <w:p w14:paraId="080C63B2" w14:textId="77DA6719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40,521</w:t>
            </w:r>
          </w:p>
        </w:tc>
        <w:tc>
          <w:tcPr>
            <w:tcW w:w="763" w:type="dxa"/>
          </w:tcPr>
          <w:p w14:paraId="5E59580A" w14:textId="10B2323B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41,526</w:t>
            </w:r>
          </w:p>
        </w:tc>
        <w:tc>
          <w:tcPr>
            <w:tcW w:w="763" w:type="dxa"/>
          </w:tcPr>
          <w:p w14:paraId="24935033" w14:textId="1F3DB68F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43,232</w:t>
            </w:r>
          </w:p>
        </w:tc>
        <w:tc>
          <w:tcPr>
            <w:tcW w:w="763" w:type="dxa"/>
          </w:tcPr>
          <w:p w14:paraId="427882D4" w14:textId="1D915D79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38,449</w:t>
            </w:r>
          </w:p>
        </w:tc>
        <w:tc>
          <w:tcPr>
            <w:tcW w:w="763" w:type="dxa"/>
          </w:tcPr>
          <w:p w14:paraId="243FD1BD" w14:textId="6CBBB668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39,390</w:t>
            </w:r>
          </w:p>
        </w:tc>
        <w:tc>
          <w:tcPr>
            <w:tcW w:w="763" w:type="dxa"/>
          </w:tcPr>
          <w:p w14:paraId="3F5E0784" w14:textId="7851B09C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41,084</w:t>
            </w:r>
          </w:p>
        </w:tc>
        <w:tc>
          <w:tcPr>
            <w:tcW w:w="763" w:type="dxa"/>
          </w:tcPr>
          <w:p w14:paraId="15533437" w14:textId="70F14230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44,886</w:t>
            </w:r>
          </w:p>
        </w:tc>
      </w:tr>
      <w:tr w:rsidR="00D90F03" w:rsidRPr="001E6681" w14:paraId="6B3B48D1" w14:textId="77777777" w:rsidTr="00FF6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1" w:type="dxa"/>
          </w:tcPr>
          <w:p w14:paraId="367484D4" w14:textId="5C657D59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 xml:space="preserve">Estimated UK alpaca population </w:t>
            </w:r>
          </w:p>
        </w:tc>
        <w:tc>
          <w:tcPr>
            <w:tcW w:w="749" w:type="dxa"/>
          </w:tcPr>
          <w:p w14:paraId="2F188778" w14:textId="3C86B040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52,000</w:t>
            </w:r>
          </w:p>
        </w:tc>
        <w:tc>
          <w:tcPr>
            <w:tcW w:w="762" w:type="dxa"/>
          </w:tcPr>
          <w:p w14:paraId="5B11C0E3" w14:textId="162456D4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54,000</w:t>
            </w:r>
          </w:p>
        </w:tc>
        <w:tc>
          <w:tcPr>
            <w:tcW w:w="763" w:type="dxa"/>
          </w:tcPr>
          <w:p w14:paraId="5321AA71" w14:textId="0B23B2C0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56,000</w:t>
            </w:r>
          </w:p>
        </w:tc>
        <w:tc>
          <w:tcPr>
            <w:tcW w:w="763" w:type="dxa"/>
          </w:tcPr>
          <w:p w14:paraId="4D94930E" w14:textId="738D17E9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58,000</w:t>
            </w:r>
          </w:p>
        </w:tc>
        <w:tc>
          <w:tcPr>
            <w:tcW w:w="763" w:type="dxa"/>
          </w:tcPr>
          <w:p w14:paraId="57DA7067" w14:textId="06DB2D46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60,000</w:t>
            </w:r>
          </w:p>
        </w:tc>
        <w:tc>
          <w:tcPr>
            <w:tcW w:w="763" w:type="dxa"/>
          </w:tcPr>
          <w:p w14:paraId="721703F8" w14:textId="21649200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60,000</w:t>
            </w:r>
          </w:p>
        </w:tc>
        <w:tc>
          <w:tcPr>
            <w:tcW w:w="763" w:type="dxa"/>
          </w:tcPr>
          <w:p w14:paraId="78003827" w14:textId="2A41CCFD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60,000</w:t>
            </w:r>
          </w:p>
        </w:tc>
        <w:tc>
          <w:tcPr>
            <w:tcW w:w="763" w:type="dxa"/>
          </w:tcPr>
          <w:p w14:paraId="3B772222" w14:textId="3961C839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62,000</w:t>
            </w:r>
          </w:p>
        </w:tc>
        <w:tc>
          <w:tcPr>
            <w:tcW w:w="763" w:type="dxa"/>
          </w:tcPr>
          <w:p w14:paraId="646556D4" w14:textId="774B0307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62,000</w:t>
            </w:r>
          </w:p>
        </w:tc>
        <w:tc>
          <w:tcPr>
            <w:tcW w:w="763" w:type="dxa"/>
          </w:tcPr>
          <w:p w14:paraId="1EC0F31C" w14:textId="13C018F5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62,000</w:t>
            </w:r>
          </w:p>
        </w:tc>
      </w:tr>
      <w:tr w:rsidR="00D90F03" w:rsidRPr="001E6681" w14:paraId="29E42FC1" w14:textId="77777777" w:rsidTr="00FF69FE">
        <w:tc>
          <w:tcPr>
            <w:tcW w:w="1401" w:type="dxa"/>
          </w:tcPr>
          <w:p w14:paraId="7E216DFD" w14:textId="3208D941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 xml:space="preserve">Estimated herds in the UK </w:t>
            </w:r>
          </w:p>
        </w:tc>
        <w:tc>
          <w:tcPr>
            <w:tcW w:w="749" w:type="dxa"/>
          </w:tcPr>
          <w:p w14:paraId="63858CB4" w14:textId="188359CC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2,300</w:t>
            </w:r>
          </w:p>
        </w:tc>
        <w:tc>
          <w:tcPr>
            <w:tcW w:w="762" w:type="dxa"/>
          </w:tcPr>
          <w:p w14:paraId="1573B0BB" w14:textId="0218B005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2,350</w:t>
            </w:r>
          </w:p>
        </w:tc>
        <w:tc>
          <w:tcPr>
            <w:tcW w:w="763" w:type="dxa"/>
          </w:tcPr>
          <w:p w14:paraId="124FB986" w14:textId="0825592E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2,400</w:t>
            </w:r>
          </w:p>
        </w:tc>
        <w:tc>
          <w:tcPr>
            <w:tcW w:w="763" w:type="dxa"/>
          </w:tcPr>
          <w:p w14:paraId="178CF704" w14:textId="1BDAF762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2,450</w:t>
            </w:r>
          </w:p>
        </w:tc>
        <w:tc>
          <w:tcPr>
            <w:tcW w:w="763" w:type="dxa"/>
          </w:tcPr>
          <w:p w14:paraId="15ED03D0" w14:textId="3A512184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2,500</w:t>
            </w:r>
          </w:p>
        </w:tc>
        <w:tc>
          <w:tcPr>
            <w:tcW w:w="763" w:type="dxa"/>
          </w:tcPr>
          <w:p w14:paraId="40B7EE3F" w14:textId="557F9503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2,500</w:t>
            </w:r>
          </w:p>
        </w:tc>
        <w:tc>
          <w:tcPr>
            <w:tcW w:w="763" w:type="dxa"/>
          </w:tcPr>
          <w:p w14:paraId="6B3BBCC1" w14:textId="1A848456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2,500</w:t>
            </w:r>
          </w:p>
        </w:tc>
        <w:tc>
          <w:tcPr>
            <w:tcW w:w="763" w:type="dxa"/>
          </w:tcPr>
          <w:p w14:paraId="6DC51818" w14:textId="68D58E76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2,600</w:t>
            </w:r>
          </w:p>
        </w:tc>
        <w:tc>
          <w:tcPr>
            <w:tcW w:w="763" w:type="dxa"/>
          </w:tcPr>
          <w:p w14:paraId="3D3A44C8" w14:textId="63C7400C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2,600</w:t>
            </w:r>
          </w:p>
        </w:tc>
        <w:tc>
          <w:tcPr>
            <w:tcW w:w="763" w:type="dxa"/>
          </w:tcPr>
          <w:p w14:paraId="7F6D946E" w14:textId="6DF0FDE0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2,600</w:t>
            </w:r>
          </w:p>
        </w:tc>
      </w:tr>
      <w:tr w:rsidR="00D90F03" w:rsidRPr="001E6681" w14:paraId="0A8363EA" w14:textId="77777777" w:rsidTr="00FF6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1" w:type="dxa"/>
          </w:tcPr>
          <w:p w14:paraId="531A7298" w14:textId="27B74359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 xml:space="preserve">% herds affected by </w:t>
            </w:r>
            <w:r w:rsidR="00F0524F">
              <w:rPr>
                <w:sz w:val="18"/>
                <w:szCs w:val="18"/>
              </w:rPr>
              <w:t>b</w:t>
            </w:r>
            <w:r w:rsidRPr="001E6681">
              <w:rPr>
                <w:sz w:val="18"/>
                <w:szCs w:val="18"/>
              </w:rPr>
              <w:t>TB per year</w:t>
            </w:r>
          </w:p>
        </w:tc>
        <w:tc>
          <w:tcPr>
            <w:tcW w:w="749" w:type="dxa"/>
          </w:tcPr>
          <w:p w14:paraId="38AB1926" w14:textId="31BFEAFC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0.6</w:t>
            </w:r>
          </w:p>
        </w:tc>
        <w:tc>
          <w:tcPr>
            <w:tcW w:w="762" w:type="dxa"/>
          </w:tcPr>
          <w:p w14:paraId="16F08ED0" w14:textId="2AA6A23C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0.3</w:t>
            </w:r>
          </w:p>
        </w:tc>
        <w:tc>
          <w:tcPr>
            <w:tcW w:w="763" w:type="dxa"/>
          </w:tcPr>
          <w:p w14:paraId="25A38A65" w14:textId="55AAA5B9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0.5</w:t>
            </w:r>
          </w:p>
        </w:tc>
        <w:tc>
          <w:tcPr>
            <w:tcW w:w="763" w:type="dxa"/>
          </w:tcPr>
          <w:p w14:paraId="0E010D73" w14:textId="6F23F6BE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0</w:t>
            </w:r>
            <w:r w:rsidR="00AF60B8">
              <w:rPr>
                <w:sz w:val="18"/>
                <w:szCs w:val="18"/>
              </w:rPr>
              <w:t>.</w:t>
            </w:r>
            <w:r w:rsidRPr="001E6681">
              <w:rPr>
                <w:sz w:val="18"/>
                <w:szCs w:val="18"/>
              </w:rPr>
              <w:t>4</w:t>
            </w:r>
          </w:p>
        </w:tc>
        <w:tc>
          <w:tcPr>
            <w:tcW w:w="763" w:type="dxa"/>
          </w:tcPr>
          <w:p w14:paraId="596DB690" w14:textId="57E0983D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0.4</w:t>
            </w:r>
          </w:p>
        </w:tc>
        <w:tc>
          <w:tcPr>
            <w:tcW w:w="763" w:type="dxa"/>
          </w:tcPr>
          <w:p w14:paraId="61019E95" w14:textId="5E3D3B8B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0.2</w:t>
            </w:r>
          </w:p>
        </w:tc>
        <w:tc>
          <w:tcPr>
            <w:tcW w:w="763" w:type="dxa"/>
          </w:tcPr>
          <w:p w14:paraId="162DA607" w14:textId="6E222619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0.1</w:t>
            </w:r>
          </w:p>
        </w:tc>
        <w:tc>
          <w:tcPr>
            <w:tcW w:w="763" w:type="dxa"/>
          </w:tcPr>
          <w:p w14:paraId="70472398" w14:textId="2F1C8EC9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0.05</w:t>
            </w:r>
          </w:p>
        </w:tc>
        <w:tc>
          <w:tcPr>
            <w:tcW w:w="763" w:type="dxa"/>
          </w:tcPr>
          <w:p w14:paraId="742D823D" w14:textId="759E78AD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0.15</w:t>
            </w:r>
          </w:p>
        </w:tc>
        <w:tc>
          <w:tcPr>
            <w:tcW w:w="763" w:type="dxa"/>
          </w:tcPr>
          <w:p w14:paraId="10EA6077" w14:textId="7B2E86FA" w:rsidR="00D90F03" w:rsidRPr="001E6681" w:rsidRDefault="00D90F03" w:rsidP="00D90F03">
            <w:pPr>
              <w:rPr>
                <w:sz w:val="18"/>
                <w:szCs w:val="18"/>
              </w:rPr>
            </w:pPr>
            <w:r w:rsidRPr="001E6681">
              <w:rPr>
                <w:sz w:val="18"/>
                <w:szCs w:val="18"/>
              </w:rPr>
              <w:t>0</w:t>
            </w:r>
            <w:r w:rsidR="001E6681">
              <w:rPr>
                <w:sz w:val="18"/>
                <w:szCs w:val="18"/>
              </w:rPr>
              <w:t>.00</w:t>
            </w:r>
          </w:p>
        </w:tc>
      </w:tr>
    </w:tbl>
    <w:p w14:paraId="741C6D00" w14:textId="5E873AAD" w:rsidR="00FF69FE" w:rsidRDefault="00FF69FE" w:rsidP="00FF69FE"/>
    <w:p w14:paraId="7791E7A5" w14:textId="77777777" w:rsidR="00E368E1" w:rsidRDefault="00153782"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F894E12" wp14:editId="53921A37">
            <wp:simplePos x="0" y="0"/>
            <wp:positionH relativeFrom="column">
              <wp:posOffset>17145</wp:posOffset>
            </wp:positionH>
            <wp:positionV relativeFrom="paragraph">
              <wp:posOffset>34925</wp:posOffset>
            </wp:positionV>
            <wp:extent cx="1106170" cy="869315"/>
            <wp:effectExtent l="0" t="0" r="0" b="6985"/>
            <wp:wrapSquare wrapText="bothSides"/>
            <wp:docPr id="826707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0715" name="Picture 826707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9FE" w:rsidRPr="00D90F03">
        <w:t xml:space="preserve">The complete data set is available for reference on the GOV.UK website under 'Data on </w:t>
      </w:r>
      <w:r w:rsidR="00F0524F">
        <w:t>b</w:t>
      </w:r>
      <w:r w:rsidR="00FF69FE" w:rsidRPr="00D90F03">
        <w:t>TB in Non-Bovine Species'.</w:t>
      </w:r>
      <w:r w:rsidR="00FF69FE">
        <w:t xml:space="preserve"> </w:t>
      </w:r>
    </w:p>
    <w:p w14:paraId="7183AEFE" w14:textId="2704A099" w:rsidR="0094474E" w:rsidRDefault="00FF69FE">
      <w:hyperlink r:id="rId7" w:history="1">
        <w:r w:rsidRPr="00E540A8">
          <w:rPr>
            <w:rFonts w:ascii="Helvetica" w:eastAsia="Times New Roman" w:hAnsi="Helvetica" w:cs="Helvetica"/>
            <w:color w:val="007C89"/>
            <w:kern w:val="36"/>
            <w:sz w:val="21"/>
            <w:szCs w:val="21"/>
            <w:u w:val="single"/>
            <w:lang w:eastAsia="en-GB"/>
            <w14:ligatures w14:val="none"/>
          </w:rPr>
          <w:t>Data on TB in Non-Bovine Species - GOV.UK</w:t>
        </w:r>
      </w:hyperlink>
    </w:p>
    <w:p w14:paraId="5FD8D419" w14:textId="11F537B1" w:rsidR="005C4F6E" w:rsidRDefault="005C4F6E" w:rsidP="00E27705">
      <w:pPr>
        <w:pStyle w:val="Heading2"/>
        <w:rPr>
          <w:sz w:val="28"/>
          <w:szCs w:val="28"/>
        </w:rPr>
      </w:pPr>
      <w:r>
        <w:rPr>
          <w:sz w:val="28"/>
          <w:szCs w:val="28"/>
        </w:rPr>
        <w:lastRenderedPageBreak/>
        <w:t>Shows</w:t>
      </w:r>
    </w:p>
    <w:p w14:paraId="681570AE" w14:textId="00F25582" w:rsidR="005C4F6E" w:rsidRPr="00FC58A5" w:rsidRDefault="00FC58A5" w:rsidP="00E27705">
      <w:pPr>
        <w:pStyle w:val="Heading2"/>
        <w:rPr>
          <w:rFonts w:asciiTheme="minorHAnsi" w:hAnsiTheme="minorHAnsi"/>
          <w:color w:val="auto"/>
          <w:sz w:val="22"/>
          <w:szCs w:val="22"/>
        </w:rPr>
      </w:pPr>
      <w:r w:rsidRPr="00FC58A5">
        <w:rPr>
          <w:rFonts w:asciiTheme="minorHAnsi" w:hAnsiTheme="minorHAnsi"/>
          <w:color w:val="auto"/>
          <w:sz w:val="22"/>
          <w:szCs w:val="22"/>
        </w:rPr>
        <w:t xml:space="preserve">To this date, there has been </w:t>
      </w:r>
      <w:r w:rsidR="00B16E0A">
        <w:rPr>
          <w:rFonts w:asciiTheme="minorHAnsi" w:hAnsiTheme="minorHAnsi"/>
          <w:color w:val="auto"/>
          <w:sz w:val="22"/>
          <w:szCs w:val="22"/>
        </w:rPr>
        <w:t>no</w:t>
      </w:r>
      <w:r w:rsidR="00947A94">
        <w:rPr>
          <w:rFonts w:asciiTheme="minorHAnsi" w:hAnsiTheme="minorHAnsi"/>
          <w:color w:val="auto"/>
          <w:sz w:val="22"/>
          <w:szCs w:val="22"/>
        </w:rPr>
        <w:t xml:space="preserve"> evidence </w:t>
      </w:r>
      <w:r w:rsidR="00B16E0A">
        <w:rPr>
          <w:rFonts w:asciiTheme="minorHAnsi" w:hAnsiTheme="minorHAnsi"/>
          <w:color w:val="auto"/>
          <w:sz w:val="22"/>
          <w:szCs w:val="22"/>
        </w:rPr>
        <w:t>of bTB being spread at B</w:t>
      </w:r>
      <w:r w:rsidR="009951D1">
        <w:rPr>
          <w:rFonts w:asciiTheme="minorHAnsi" w:hAnsiTheme="minorHAnsi"/>
          <w:color w:val="auto"/>
          <w:sz w:val="22"/>
          <w:szCs w:val="22"/>
        </w:rPr>
        <w:t>ritish Alpaca Society (BAS)</w:t>
      </w:r>
      <w:r w:rsidR="00B16E0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D06ED">
        <w:rPr>
          <w:rFonts w:asciiTheme="minorHAnsi" w:hAnsiTheme="minorHAnsi"/>
          <w:color w:val="auto"/>
          <w:sz w:val="22"/>
          <w:szCs w:val="22"/>
        </w:rPr>
        <w:t xml:space="preserve">halter </w:t>
      </w:r>
      <w:r w:rsidR="00B16E0A">
        <w:rPr>
          <w:rFonts w:asciiTheme="minorHAnsi" w:hAnsiTheme="minorHAnsi"/>
          <w:color w:val="auto"/>
          <w:sz w:val="22"/>
          <w:szCs w:val="22"/>
        </w:rPr>
        <w:t>shows</w:t>
      </w:r>
      <w:r w:rsidR="00BA0C2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D2B29">
        <w:rPr>
          <w:rFonts w:asciiTheme="minorHAnsi" w:hAnsiTheme="minorHAnsi"/>
          <w:color w:val="auto"/>
          <w:sz w:val="22"/>
          <w:szCs w:val="22"/>
        </w:rPr>
        <w:t xml:space="preserve">with no </w:t>
      </w:r>
      <w:r w:rsidR="004B72E7">
        <w:rPr>
          <w:rFonts w:asciiTheme="minorHAnsi" w:hAnsiTheme="minorHAnsi"/>
          <w:color w:val="auto"/>
          <w:sz w:val="22"/>
          <w:szCs w:val="22"/>
        </w:rPr>
        <w:t xml:space="preserve">historic </w:t>
      </w:r>
      <w:r w:rsidR="00CD2B29">
        <w:rPr>
          <w:rFonts w:asciiTheme="minorHAnsi" w:hAnsiTheme="minorHAnsi"/>
          <w:color w:val="auto"/>
          <w:sz w:val="22"/>
          <w:szCs w:val="22"/>
        </w:rPr>
        <w:t>case</w:t>
      </w:r>
      <w:r w:rsidR="00B70C71">
        <w:rPr>
          <w:rFonts w:asciiTheme="minorHAnsi" w:hAnsiTheme="minorHAnsi"/>
          <w:color w:val="auto"/>
          <w:sz w:val="22"/>
          <w:szCs w:val="22"/>
        </w:rPr>
        <w:t>s</w:t>
      </w:r>
      <w:r w:rsidR="00CD2B29">
        <w:rPr>
          <w:rFonts w:asciiTheme="minorHAnsi" w:hAnsiTheme="minorHAnsi"/>
          <w:color w:val="auto"/>
          <w:sz w:val="22"/>
          <w:szCs w:val="22"/>
        </w:rPr>
        <w:t xml:space="preserve"> ever traced to a show source.</w:t>
      </w:r>
      <w:r w:rsidR="002D06E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D1DFA">
        <w:rPr>
          <w:rFonts w:asciiTheme="minorHAnsi" w:hAnsiTheme="minorHAnsi"/>
          <w:color w:val="auto"/>
          <w:sz w:val="22"/>
          <w:szCs w:val="22"/>
        </w:rPr>
        <w:t>With the implementation of the biosecurity rules, t</w:t>
      </w:r>
      <w:r w:rsidR="00947A94">
        <w:rPr>
          <w:rFonts w:asciiTheme="minorHAnsi" w:hAnsiTheme="minorHAnsi"/>
          <w:color w:val="auto"/>
          <w:sz w:val="22"/>
          <w:szCs w:val="22"/>
        </w:rPr>
        <w:t xml:space="preserve">his is </w:t>
      </w:r>
      <w:r w:rsidR="008410A7">
        <w:rPr>
          <w:rFonts w:asciiTheme="minorHAnsi" w:hAnsiTheme="minorHAnsi"/>
          <w:color w:val="auto"/>
          <w:sz w:val="22"/>
          <w:szCs w:val="22"/>
        </w:rPr>
        <w:t>again a testament to the diligence of the industry</w:t>
      </w:r>
      <w:r w:rsidR="004169F4">
        <w:rPr>
          <w:rFonts w:asciiTheme="minorHAnsi" w:hAnsiTheme="minorHAnsi"/>
          <w:color w:val="auto"/>
          <w:sz w:val="22"/>
          <w:szCs w:val="22"/>
        </w:rPr>
        <w:t xml:space="preserve"> where over </w:t>
      </w:r>
      <w:r w:rsidR="00E95F5C">
        <w:rPr>
          <w:rFonts w:asciiTheme="minorHAnsi" w:hAnsiTheme="minorHAnsi"/>
          <w:color w:val="auto"/>
          <w:sz w:val="22"/>
          <w:szCs w:val="22"/>
        </w:rPr>
        <w:t>30</w:t>
      </w:r>
      <w:r w:rsidR="004169F4">
        <w:rPr>
          <w:rFonts w:asciiTheme="minorHAnsi" w:hAnsiTheme="minorHAnsi"/>
          <w:color w:val="auto"/>
          <w:sz w:val="22"/>
          <w:szCs w:val="22"/>
        </w:rPr>
        <w:t>,000 alpacas are estimated to have come through the show circuit since 1999</w:t>
      </w:r>
      <w:r w:rsidR="00BA0C2D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7FA53A6A" w14:textId="77777777" w:rsidR="00E368E1" w:rsidRDefault="00E368E1" w:rsidP="00E27705">
      <w:pPr>
        <w:pStyle w:val="Heading2"/>
        <w:rPr>
          <w:sz w:val="28"/>
          <w:szCs w:val="28"/>
        </w:rPr>
      </w:pPr>
    </w:p>
    <w:p w14:paraId="01C1C184" w14:textId="33708B85" w:rsidR="0013752A" w:rsidRPr="00E27705" w:rsidRDefault="0013752A" w:rsidP="00E27705">
      <w:pPr>
        <w:pStyle w:val="Heading2"/>
        <w:rPr>
          <w:sz w:val="28"/>
          <w:szCs w:val="28"/>
        </w:rPr>
      </w:pPr>
      <w:r w:rsidRPr="00AF60B8">
        <w:rPr>
          <w:sz w:val="28"/>
          <w:szCs w:val="28"/>
        </w:rPr>
        <w:t xml:space="preserve">Export </w:t>
      </w:r>
    </w:p>
    <w:p w14:paraId="161DF121" w14:textId="1ED77AD7" w:rsidR="00AF60B8" w:rsidRDefault="00F41261" w:rsidP="0013752A">
      <w:r>
        <w:t>In 2021 t</w:t>
      </w:r>
      <w:r w:rsidR="0013752A" w:rsidRPr="0013752A">
        <w:t>he UK government (DEFRA) create</w:t>
      </w:r>
      <w:r w:rsidR="00E27705">
        <w:t>d</w:t>
      </w:r>
      <w:r w:rsidR="0013752A" w:rsidRPr="0013752A">
        <w:t xml:space="preserve"> an</w:t>
      </w:r>
      <w:r w:rsidR="00E27705">
        <w:t xml:space="preserve"> additional </w:t>
      </w:r>
      <w:r w:rsidR="0013752A" w:rsidRPr="0013752A">
        <w:t xml:space="preserve">level of </w:t>
      </w:r>
      <w:r w:rsidR="00E27705">
        <w:t>bio</w:t>
      </w:r>
      <w:r w:rsidR="0013752A" w:rsidRPr="0013752A">
        <w:t>security for</w:t>
      </w:r>
      <w:r w:rsidR="0013752A">
        <w:t xml:space="preserve"> </w:t>
      </w:r>
      <w:r w:rsidR="0013752A" w:rsidRPr="0013752A">
        <w:t>alpacas leaving the UK for the EU. This involved not</w:t>
      </w:r>
      <w:r w:rsidR="0013752A">
        <w:t xml:space="preserve"> </w:t>
      </w:r>
      <w:r w:rsidR="0013752A" w:rsidRPr="0013752A">
        <w:t>only following all EU testing requirements but also</w:t>
      </w:r>
      <w:r w:rsidR="0013752A">
        <w:t xml:space="preserve"> </w:t>
      </w:r>
      <w:r w:rsidR="0013752A" w:rsidRPr="0013752A">
        <w:t>adding another layer of protection where</w:t>
      </w:r>
      <w:r w:rsidR="00D47968">
        <w:t xml:space="preserve"> </w:t>
      </w:r>
      <w:r w:rsidR="00D47968" w:rsidRPr="005353A2">
        <w:rPr>
          <w:u w:val="single"/>
        </w:rPr>
        <w:t>ALL</w:t>
      </w:r>
      <w:r w:rsidR="0013752A" w:rsidRPr="005353A2">
        <w:rPr>
          <w:u w:val="single"/>
        </w:rPr>
        <w:t xml:space="preserve"> alpacas on the </w:t>
      </w:r>
      <w:r w:rsidR="006223E9" w:rsidRPr="005353A2">
        <w:rPr>
          <w:u w:val="single"/>
        </w:rPr>
        <w:t>UK</w:t>
      </w:r>
      <w:r w:rsidR="0013752A" w:rsidRPr="005353A2">
        <w:rPr>
          <w:u w:val="single"/>
        </w:rPr>
        <w:t xml:space="preserve"> exporting farm must have a</w:t>
      </w:r>
      <w:r w:rsidR="0013752A" w:rsidRPr="0013752A">
        <w:t xml:space="preserve"> </w:t>
      </w:r>
      <w:r w:rsidR="00E27705" w:rsidRPr="0013752A">
        <w:t>Single Intradermal</w:t>
      </w:r>
      <w:r w:rsidR="00E27705">
        <w:t xml:space="preserve"> </w:t>
      </w:r>
      <w:r w:rsidR="00E27705" w:rsidRPr="0013752A">
        <w:t>Comparative Cervical Tuberculin (SICCT) test,</w:t>
      </w:r>
      <w:r w:rsidR="00E27705">
        <w:t xml:space="preserve"> </w:t>
      </w:r>
      <w:r w:rsidR="00E27705" w:rsidRPr="0013752A">
        <w:t>commonly known as a bTB skin test</w:t>
      </w:r>
      <w:r w:rsidR="00E27705">
        <w:t>,</w:t>
      </w:r>
      <w:r w:rsidR="00D47968">
        <w:t xml:space="preserve"> followed by an </w:t>
      </w:r>
      <w:r w:rsidR="0013752A" w:rsidRPr="0013752A">
        <w:t>Enferplex</w:t>
      </w:r>
      <w:r w:rsidR="0013752A">
        <w:t xml:space="preserve"> </w:t>
      </w:r>
      <w:r w:rsidR="00E27705">
        <w:t xml:space="preserve">antibody </w:t>
      </w:r>
      <w:r w:rsidR="0013752A" w:rsidRPr="0013752A">
        <w:t>Blood</w:t>
      </w:r>
      <w:r w:rsidR="0013752A">
        <w:t>-</w:t>
      </w:r>
      <w:r w:rsidR="0013752A" w:rsidRPr="0013752A">
        <w:t>test. Only farms that have</w:t>
      </w:r>
      <w:r w:rsidR="0013752A">
        <w:t xml:space="preserve"> </w:t>
      </w:r>
      <w:r w:rsidR="0013752A" w:rsidRPr="0013752A">
        <w:t xml:space="preserve">this double bTB testing regime </w:t>
      </w:r>
      <w:r w:rsidR="00C05EF8">
        <w:t xml:space="preserve">implemented </w:t>
      </w:r>
      <w:r w:rsidR="0013752A" w:rsidRPr="0013752A">
        <w:t>on all of their</w:t>
      </w:r>
      <w:r w:rsidR="0013752A">
        <w:t xml:space="preserve"> </w:t>
      </w:r>
      <w:r w:rsidR="0013752A" w:rsidRPr="0013752A">
        <w:t>alpacas</w:t>
      </w:r>
      <w:r w:rsidR="00C05EF8">
        <w:t>,</w:t>
      </w:r>
      <w:r w:rsidR="0013752A" w:rsidRPr="0013752A">
        <w:t xml:space="preserve"> </w:t>
      </w:r>
      <w:r w:rsidR="002A3955">
        <w:t>with negative results</w:t>
      </w:r>
      <w:r w:rsidR="00C05EF8">
        <w:t>,</w:t>
      </w:r>
      <w:r w:rsidR="002A3955">
        <w:t xml:space="preserve"> </w:t>
      </w:r>
      <w:r w:rsidR="0013752A" w:rsidRPr="0013752A">
        <w:t xml:space="preserve">are allowed to </w:t>
      </w:r>
      <w:r w:rsidR="002A6658">
        <w:t>exp</w:t>
      </w:r>
      <w:r w:rsidR="000F0F2E">
        <w:t xml:space="preserve">ort </w:t>
      </w:r>
      <w:r w:rsidR="0013752A" w:rsidRPr="0013752A">
        <w:t>to the EU</w:t>
      </w:r>
      <w:r w:rsidR="005353A2">
        <w:t>.</w:t>
      </w:r>
      <w:r w:rsidR="002A6658">
        <w:t xml:space="preserve"> T</w:t>
      </w:r>
      <w:r w:rsidR="000F0F2E">
        <w:t>he</w:t>
      </w:r>
      <w:r w:rsidR="007D5598">
        <w:t xml:space="preserve"> </w:t>
      </w:r>
      <w:r w:rsidR="00E748B4">
        <w:t xml:space="preserve">test </w:t>
      </w:r>
      <w:r w:rsidR="007D5598">
        <w:t xml:space="preserve">results are </w:t>
      </w:r>
      <w:r w:rsidR="005E0D34">
        <w:t xml:space="preserve">verified </w:t>
      </w:r>
      <w:r w:rsidR="00E748B4">
        <w:t>by a government authorised</w:t>
      </w:r>
      <w:r w:rsidR="005E0D34">
        <w:t xml:space="preserve"> veterinarian</w:t>
      </w:r>
      <w:r w:rsidR="005B4833">
        <w:t xml:space="preserve"> before the Export Health Certificate (EHC) is signed and stamped</w:t>
      </w:r>
      <w:r w:rsidR="005E0D34">
        <w:t>.</w:t>
      </w:r>
      <w:r w:rsidR="0013752A" w:rsidRPr="0013752A">
        <w:t xml:space="preserve"> This</w:t>
      </w:r>
      <w:r w:rsidR="0013752A">
        <w:t xml:space="preserve"> </w:t>
      </w:r>
      <w:r w:rsidR="0013752A" w:rsidRPr="0013752A">
        <w:t>means that the alpacas leaving the UK have the most</w:t>
      </w:r>
      <w:r w:rsidR="0013752A">
        <w:t xml:space="preserve"> </w:t>
      </w:r>
      <w:r w:rsidR="0013752A" w:rsidRPr="0013752A">
        <w:t>stringent testing regime in Europe</w:t>
      </w:r>
      <w:r w:rsidR="00FF69FE">
        <w:t xml:space="preserve"> and if an exporting farm has bTB, this thorough testing regime </w:t>
      </w:r>
      <w:r w:rsidR="00FF69FE" w:rsidRPr="00E27705">
        <w:t xml:space="preserve">will </w:t>
      </w:r>
      <w:r w:rsidR="002A3955">
        <w:t xml:space="preserve">statistically </w:t>
      </w:r>
      <w:r w:rsidR="00FF69FE" w:rsidRPr="00E27705">
        <w:t>find it</w:t>
      </w:r>
      <w:r w:rsidR="00FF69FE">
        <w:t xml:space="preserve"> and the farm will be placed under immediate movement restrictions preventing the disease being spread.</w:t>
      </w:r>
      <w:r w:rsidR="00C70E7A">
        <w:t xml:space="preserve"> </w:t>
      </w:r>
    </w:p>
    <w:p w14:paraId="3837A1DE" w14:textId="77777777" w:rsidR="00E368E1" w:rsidRDefault="00E368E1" w:rsidP="00FF69FE">
      <w:pPr>
        <w:pStyle w:val="Heading2"/>
        <w:rPr>
          <w:sz w:val="28"/>
          <w:szCs w:val="28"/>
        </w:rPr>
      </w:pPr>
    </w:p>
    <w:p w14:paraId="2B9C703F" w14:textId="00BEF131" w:rsidR="00FF69FE" w:rsidRPr="00AF60B8" w:rsidRDefault="00FF69FE" w:rsidP="00FF69FE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Working with our EU neighbours</w:t>
      </w:r>
    </w:p>
    <w:p w14:paraId="3BADCF36" w14:textId="5DC33DE4" w:rsidR="00FF69FE" w:rsidRDefault="00FF69FE" w:rsidP="0013752A">
      <w:r>
        <w:t xml:space="preserve">The British Alpaca Society is committed to the long term future of the alpaca industry and welcomes EU based alpaca associations to work together </w:t>
      </w:r>
      <w:r w:rsidR="00E27705">
        <w:t>to ensure the steady flow of much needed new</w:t>
      </w:r>
      <w:r>
        <w:t xml:space="preserve"> genetics</w:t>
      </w:r>
      <w:r w:rsidR="00E27705">
        <w:t xml:space="preserve"> between countries. </w:t>
      </w:r>
      <w:r w:rsidR="0013001E">
        <w:t xml:space="preserve">The UK needs </w:t>
      </w:r>
      <w:r w:rsidR="00487A63">
        <w:t xml:space="preserve">to import </w:t>
      </w:r>
      <w:r w:rsidR="0013001E">
        <w:t>new genetics too and o</w:t>
      </w:r>
      <w:r w:rsidR="00E27705">
        <w:t xml:space="preserve">nly by working together to share these genetics can we </w:t>
      </w:r>
      <w:r w:rsidR="00824014">
        <w:t xml:space="preserve">improve the </w:t>
      </w:r>
      <w:r w:rsidR="000567AB">
        <w:t xml:space="preserve">productivity of the </w:t>
      </w:r>
      <w:r w:rsidR="00824014">
        <w:t>alpaca and drive towards</w:t>
      </w:r>
      <w:r>
        <w:t xml:space="preserve"> a brighter and </w:t>
      </w:r>
      <w:r w:rsidR="00E27705">
        <w:t xml:space="preserve">more </w:t>
      </w:r>
      <w:r>
        <w:t xml:space="preserve">sustainable future. </w:t>
      </w:r>
    </w:p>
    <w:p w14:paraId="28158517" w14:textId="77777777" w:rsidR="00E368E1" w:rsidRDefault="00E368E1" w:rsidP="000C350E">
      <w:pPr>
        <w:pStyle w:val="Heading2"/>
        <w:rPr>
          <w:sz w:val="28"/>
          <w:szCs w:val="28"/>
        </w:rPr>
      </w:pPr>
    </w:p>
    <w:p w14:paraId="39D54B94" w14:textId="49499CE9" w:rsidR="002C03CE" w:rsidRDefault="000C350E" w:rsidP="000C350E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This update is brought to you by:</w:t>
      </w:r>
    </w:p>
    <w:p w14:paraId="56F39C08" w14:textId="77777777" w:rsidR="000C350E" w:rsidRPr="000C350E" w:rsidRDefault="000C350E" w:rsidP="000C350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3762"/>
        <w:gridCol w:w="3447"/>
      </w:tblGrid>
      <w:tr w:rsidR="00AC03FE" w14:paraId="0128010F" w14:textId="77777777" w:rsidTr="000C350E">
        <w:tc>
          <w:tcPr>
            <w:tcW w:w="3005" w:type="dxa"/>
          </w:tcPr>
          <w:p w14:paraId="4737FABD" w14:textId="5BD23DDD" w:rsidR="0068679C" w:rsidRDefault="0068679C" w:rsidP="002265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9C30DC" wp14:editId="53620538">
                  <wp:extent cx="925156" cy="916391"/>
                  <wp:effectExtent l="38100" t="38100" r="104140" b="93345"/>
                  <wp:docPr id="10259066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906629" name="Picture 102590662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14" cy="94032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499B11E8" w14:textId="2C610C14" w:rsidR="0068679C" w:rsidRDefault="0068679C" w:rsidP="002265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1917A9" wp14:editId="3DAA77EA">
                  <wp:extent cx="2236470" cy="897240"/>
                  <wp:effectExtent l="38100" t="38100" r="87630" b="74930"/>
                  <wp:docPr id="4984471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4471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820" cy="919847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5D0AC4AD" w14:textId="6AAC5111" w:rsidR="0068679C" w:rsidRDefault="0068679C" w:rsidP="002265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AEF8DA" wp14:editId="0619DFEF">
                  <wp:extent cx="2016760" cy="896620"/>
                  <wp:effectExtent l="38100" t="38100" r="97790" b="93980"/>
                  <wp:docPr id="18253404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340405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7875" r="95" b="16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330" cy="95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3FE" w14:paraId="0AF6F6D6" w14:textId="77777777" w:rsidTr="000C350E">
        <w:tc>
          <w:tcPr>
            <w:tcW w:w="3005" w:type="dxa"/>
          </w:tcPr>
          <w:p w14:paraId="2CDA0231" w14:textId="27608ABA" w:rsidR="0068679C" w:rsidRPr="005D5109" w:rsidRDefault="0068679C" w:rsidP="0022659F">
            <w:pPr>
              <w:jc w:val="center"/>
              <w:rPr>
                <w:color w:val="0F4761" w:themeColor="accent1" w:themeShade="BF"/>
              </w:rPr>
            </w:pPr>
            <w:r w:rsidRPr="005D5109">
              <w:rPr>
                <w:color w:val="0F4761" w:themeColor="accent1" w:themeShade="BF"/>
              </w:rPr>
              <w:t>Sue Loach</w:t>
            </w:r>
          </w:p>
          <w:p w14:paraId="76BD589D" w14:textId="6E70488D" w:rsidR="0022659F" w:rsidRDefault="0022659F" w:rsidP="0022659F">
            <w:pPr>
              <w:jc w:val="center"/>
            </w:pPr>
            <w:r>
              <w:t>BAS Chai</w:t>
            </w:r>
            <w:r w:rsidR="00F93EC1">
              <w:t>rman</w:t>
            </w:r>
          </w:p>
        </w:tc>
        <w:tc>
          <w:tcPr>
            <w:tcW w:w="3005" w:type="dxa"/>
          </w:tcPr>
          <w:p w14:paraId="3FD2FB55" w14:textId="3DB6B8F1" w:rsidR="00C21B35" w:rsidRPr="005D5109" w:rsidRDefault="0068679C" w:rsidP="0022659F">
            <w:pPr>
              <w:jc w:val="center"/>
              <w:rPr>
                <w:color w:val="0F4761" w:themeColor="accent1" w:themeShade="BF"/>
              </w:rPr>
            </w:pPr>
            <w:r w:rsidRPr="005D5109">
              <w:rPr>
                <w:color w:val="0F4761" w:themeColor="accent1" w:themeShade="BF"/>
              </w:rPr>
              <w:t>Claire Whitehead</w:t>
            </w:r>
          </w:p>
          <w:p w14:paraId="58FD79C5" w14:textId="26A26A41" w:rsidR="0068679C" w:rsidRDefault="00C21B35" w:rsidP="0022659F">
            <w:pPr>
              <w:jc w:val="center"/>
            </w:pPr>
            <w:r w:rsidRPr="00C21B35">
              <w:t>BVM&amp;S MS DACVIM(LA) FHEA MRCVS</w:t>
            </w:r>
          </w:p>
        </w:tc>
        <w:tc>
          <w:tcPr>
            <w:tcW w:w="3006" w:type="dxa"/>
          </w:tcPr>
          <w:p w14:paraId="1C56C38E" w14:textId="77777777" w:rsidR="0022659F" w:rsidRPr="005D5109" w:rsidRDefault="0068679C" w:rsidP="0022659F">
            <w:pPr>
              <w:jc w:val="center"/>
              <w:rPr>
                <w:color w:val="0F4761" w:themeColor="accent1" w:themeShade="BF"/>
              </w:rPr>
            </w:pPr>
            <w:r w:rsidRPr="005D5109">
              <w:rPr>
                <w:color w:val="0F4761" w:themeColor="accent1" w:themeShade="BF"/>
              </w:rPr>
              <w:t>Anne Kramer</w:t>
            </w:r>
          </w:p>
          <w:p w14:paraId="0F354DD1" w14:textId="2BE12F78" w:rsidR="00C21B35" w:rsidRDefault="001D7DCE" w:rsidP="0022659F">
            <w:pPr>
              <w:jc w:val="center"/>
            </w:pPr>
            <w:r w:rsidRPr="001D7DCE">
              <w:t>DVM MANZCVS CertAVP</w:t>
            </w:r>
            <w:r w:rsidR="00AC03FE">
              <w:t xml:space="preserve"> </w:t>
            </w:r>
            <w:r w:rsidRPr="001D7DCE">
              <w:t>(Camelid)</w:t>
            </w:r>
          </w:p>
        </w:tc>
      </w:tr>
    </w:tbl>
    <w:p w14:paraId="7C9EC9DC" w14:textId="77777777" w:rsidR="0068679C" w:rsidRPr="00AF60B8" w:rsidRDefault="0068679C" w:rsidP="0022659F">
      <w:pPr>
        <w:jc w:val="center"/>
      </w:pPr>
    </w:p>
    <w:p w14:paraId="502127B6" w14:textId="53F2AD8B" w:rsidR="0013752A" w:rsidRDefault="007619BE" w:rsidP="002C03CE">
      <w:r>
        <w:tab/>
      </w:r>
    </w:p>
    <w:p w14:paraId="4BBBA44B" w14:textId="06D21F89" w:rsidR="009829F9" w:rsidRPr="0013752A" w:rsidRDefault="009829F9" w:rsidP="0013752A"/>
    <w:sectPr w:rsidR="009829F9" w:rsidRPr="00137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4E"/>
    <w:rsid w:val="000567AB"/>
    <w:rsid w:val="000C350E"/>
    <w:rsid w:val="000D4715"/>
    <w:rsid w:val="000F0F2E"/>
    <w:rsid w:val="00112ABA"/>
    <w:rsid w:val="0013001E"/>
    <w:rsid w:val="0013752A"/>
    <w:rsid w:val="001379BE"/>
    <w:rsid w:val="00153782"/>
    <w:rsid w:val="00160261"/>
    <w:rsid w:val="001774C8"/>
    <w:rsid w:val="001841F6"/>
    <w:rsid w:val="001D7DCE"/>
    <w:rsid w:val="001E6681"/>
    <w:rsid w:val="00214726"/>
    <w:rsid w:val="00214CA8"/>
    <w:rsid w:val="0022659F"/>
    <w:rsid w:val="00287EA9"/>
    <w:rsid w:val="002A3955"/>
    <w:rsid w:val="002A6658"/>
    <w:rsid w:val="002C03CE"/>
    <w:rsid w:val="002D06ED"/>
    <w:rsid w:val="004169F4"/>
    <w:rsid w:val="00487A63"/>
    <w:rsid w:val="004B72E7"/>
    <w:rsid w:val="005353A2"/>
    <w:rsid w:val="00550884"/>
    <w:rsid w:val="005B4833"/>
    <w:rsid w:val="005C4F6E"/>
    <w:rsid w:val="005D1DFA"/>
    <w:rsid w:val="005D5109"/>
    <w:rsid w:val="005D5481"/>
    <w:rsid w:val="005E0D34"/>
    <w:rsid w:val="005E4782"/>
    <w:rsid w:val="006223E9"/>
    <w:rsid w:val="0068679C"/>
    <w:rsid w:val="00692F38"/>
    <w:rsid w:val="006C6BFF"/>
    <w:rsid w:val="006E5DED"/>
    <w:rsid w:val="006F0899"/>
    <w:rsid w:val="007404B5"/>
    <w:rsid w:val="007619BE"/>
    <w:rsid w:val="007D5598"/>
    <w:rsid w:val="007E5D33"/>
    <w:rsid w:val="00800F2F"/>
    <w:rsid w:val="008057CF"/>
    <w:rsid w:val="00813EF5"/>
    <w:rsid w:val="00824014"/>
    <w:rsid w:val="00840690"/>
    <w:rsid w:val="008410A7"/>
    <w:rsid w:val="008F57DF"/>
    <w:rsid w:val="00914B60"/>
    <w:rsid w:val="0094474E"/>
    <w:rsid w:val="00947A94"/>
    <w:rsid w:val="0095565F"/>
    <w:rsid w:val="00962952"/>
    <w:rsid w:val="009829F9"/>
    <w:rsid w:val="00984619"/>
    <w:rsid w:val="009951D1"/>
    <w:rsid w:val="00A31A4D"/>
    <w:rsid w:val="00AB4120"/>
    <w:rsid w:val="00AC03FE"/>
    <w:rsid w:val="00AF60B8"/>
    <w:rsid w:val="00B13F12"/>
    <w:rsid w:val="00B16E0A"/>
    <w:rsid w:val="00B70C71"/>
    <w:rsid w:val="00BA0C2D"/>
    <w:rsid w:val="00C05EF8"/>
    <w:rsid w:val="00C21B35"/>
    <w:rsid w:val="00C70E7A"/>
    <w:rsid w:val="00CD2B29"/>
    <w:rsid w:val="00D47968"/>
    <w:rsid w:val="00D90F03"/>
    <w:rsid w:val="00DA0096"/>
    <w:rsid w:val="00DA6932"/>
    <w:rsid w:val="00E27705"/>
    <w:rsid w:val="00E31C46"/>
    <w:rsid w:val="00E368E1"/>
    <w:rsid w:val="00E63377"/>
    <w:rsid w:val="00E64A3A"/>
    <w:rsid w:val="00E71370"/>
    <w:rsid w:val="00E748B4"/>
    <w:rsid w:val="00E814CF"/>
    <w:rsid w:val="00E95F5C"/>
    <w:rsid w:val="00EF4BB3"/>
    <w:rsid w:val="00F0524F"/>
    <w:rsid w:val="00F41261"/>
    <w:rsid w:val="00F579DF"/>
    <w:rsid w:val="00F93EC1"/>
    <w:rsid w:val="00FC5773"/>
    <w:rsid w:val="00FC58A5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AB71"/>
  <w15:chartTrackingRefBased/>
  <w15:docId w15:val="{1F97E6E1-6FB5-480D-BE71-9479F07F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4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7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90F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statistical-data-sets/other-tb-statisti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8D0A-00FE-4751-9906-10827DB3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British Alpaca Society Pullar</dc:creator>
  <cp:keywords/>
  <dc:description/>
  <cp:lastModifiedBy>British Alpaca Society Pullar</cp:lastModifiedBy>
  <cp:revision>2</cp:revision>
  <dcterms:created xsi:type="dcterms:W3CDTF">2025-11-27T08:57:00Z</dcterms:created>
  <dcterms:modified xsi:type="dcterms:W3CDTF">2025-11-27T08:57:00Z</dcterms:modified>
</cp:coreProperties>
</file>